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5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200"/>
        <w:gridCol w:w="1200"/>
        <w:gridCol w:w="1455"/>
      </w:tblGrid>
      <w:tr w:rsidR="00D20AED" w:rsidRPr="00D20AED" w14:paraId="0918A697" w14:textId="77777777" w:rsidTr="00D20AED">
        <w:trPr>
          <w:trHeight w:val="600"/>
          <w:tblHeader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400A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u w:val="single"/>
                <w:lang w:eastAsia="es-CR"/>
              </w:rPr>
              <w:t>ANEXO N°2</w:t>
            </w:r>
          </w:p>
        </w:tc>
      </w:tr>
      <w:tr w:rsidR="00D20AED" w:rsidRPr="00D20AED" w14:paraId="63DCC4BE" w14:textId="77777777" w:rsidTr="00D20AED">
        <w:trPr>
          <w:trHeight w:val="330"/>
          <w:tblHeader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11BB9200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PLANTILLA ANÁLISIS ADMINISTRATIVO  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3EBC830F" w14:textId="77777777" w:rsidTr="00D20AED">
        <w:trPr>
          <w:trHeight w:val="315"/>
          <w:tblHeader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27749673" w14:textId="77777777" w:rsidR="00D20AED" w:rsidRPr="00D20AED" w:rsidRDefault="00D20AED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Procedimiento:</w:t>
            </w:r>
          </w:p>
        </w:tc>
      </w:tr>
      <w:tr w:rsidR="00D20AED" w:rsidRPr="00D20AED" w14:paraId="56F8B017" w14:textId="77777777" w:rsidTr="00D20AED">
        <w:trPr>
          <w:trHeight w:val="315"/>
          <w:tblHeader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0FCA2A6" w14:textId="77777777" w:rsidR="00D20AED" w:rsidRPr="00D20AED" w:rsidRDefault="00D20AED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Objeto Contractual:</w:t>
            </w:r>
          </w:p>
        </w:tc>
      </w:tr>
      <w:tr w:rsidR="00D20AED" w:rsidRPr="00D20AED" w14:paraId="11937825" w14:textId="77777777" w:rsidTr="00D20AED">
        <w:trPr>
          <w:trHeight w:val="330"/>
          <w:tblHeader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1D8850E1" w14:textId="77777777" w:rsidR="00D20AED" w:rsidRPr="00D20AED" w:rsidRDefault="00D20AED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Nombre Proveedor:</w:t>
            </w:r>
          </w:p>
        </w:tc>
      </w:tr>
      <w:tr w:rsidR="00D20AED" w:rsidRPr="00D20AED" w14:paraId="34CA1C07" w14:textId="77777777" w:rsidTr="00D1637C">
        <w:trPr>
          <w:trHeight w:val="570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016DC35D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VERIFICACIÓN DE CUMPLIMIENTO POR OFERTA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AEC8978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 xml:space="preserve">CUMPLE /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0F62B3C3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>NO CUMPLE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589705E6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>N/A</w:t>
            </w:r>
          </w:p>
        </w:tc>
      </w:tr>
      <w:tr w:rsidR="00D20AED" w:rsidRPr="00D20AED" w14:paraId="2971C176" w14:textId="77777777" w:rsidTr="00D1637C">
        <w:trPr>
          <w:trHeight w:val="5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F95B" w14:textId="71BE985D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1.       Expediente cuenta con Cronograma de Actividades y Responsables</w:t>
            </w:r>
            <w:r w:rsidR="00F369DE">
              <w:rPr>
                <w:rFonts w:ascii="Arial" w:eastAsia="Times New Roman" w:hAnsi="Arial" w:cs="Arial"/>
                <w:color w:val="000000"/>
                <w:lang w:eastAsia="es-CR"/>
              </w:rPr>
              <w:t xml:space="preserve">, </w:t>
            </w:r>
            <w:r w:rsidR="00F369DE" w:rsidRPr="00AF34D5">
              <w:rPr>
                <w:rFonts w:ascii="Arial" w:eastAsia="Times New Roman" w:hAnsi="Arial" w:cs="Arial"/>
                <w:lang w:eastAsia="es-CR"/>
              </w:rPr>
              <w:t xml:space="preserve">dentro del apartado información relacionada.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F679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2E56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83CA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7D1CCEBD" w14:textId="77777777" w:rsidTr="00D1637C">
        <w:trPr>
          <w:trHeight w:val="14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A6FC" w14:textId="77777777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2.       La oferta viene firmada digitalmente por quien tenga poder para realizarlo (Poder general se verifica en la plataforma y poder especial debe aportarse con la oferta o verse en la plataforma).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C03B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5121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3395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C01D37" w:rsidRPr="00D20AED" w14:paraId="119D4B21" w14:textId="77777777" w:rsidTr="00D1637C">
        <w:trPr>
          <w:trHeight w:val="14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DB48" w14:textId="2C71FF70" w:rsidR="00C01D37" w:rsidRPr="00D20AED" w:rsidRDefault="00C01D37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3. Se verifica en “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es-CR"/>
              </w:rPr>
              <w:t>consulta oferentes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” que el oferente cuente con la declaración jurada referente a prohibiciones y en caso de personas jurídicas la naturaleza y propiedad de las acciones.  Art 29 LCP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13791" w14:textId="77777777" w:rsidR="00C01D37" w:rsidRPr="00D20AED" w:rsidRDefault="00C01D37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A16C" w14:textId="77777777" w:rsidR="00C01D37" w:rsidRPr="00D20AED" w:rsidRDefault="00C01D37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8DDD" w14:textId="77777777" w:rsidR="00C01D37" w:rsidRPr="00D20AED" w:rsidRDefault="00C01D37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0D2A99" w:rsidRPr="00D20AED" w14:paraId="477F33C7" w14:textId="77777777" w:rsidTr="00D1637C">
        <w:trPr>
          <w:trHeight w:val="63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64ED" w14:textId="413EE908" w:rsidR="000D2A99" w:rsidRDefault="000D2A99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4. Se verifica la declaración jurada de beneficiario final?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DD4DA" w14:textId="77777777" w:rsidR="000D2A99" w:rsidRPr="00D20AED" w:rsidRDefault="000D2A99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9998" w14:textId="77777777" w:rsidR="000D2A99" w:rsidRPr="00D20AED" w:rsidRDefault="000D2A99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335C" w14:textId="77777777" w:rsidR="000D2A99" w:rsidRPr="00D20AED" w:rsidRDefault="000D2A99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7C1053" w:rsidRPr="00D20AED" w14:paraId="35577140" w14:textId="77777777" w:rsidTr="00D1637C">
        <w:trPr>
          <w:trHeight w:val="83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4BD10" w14:textId="53F3D1A6" w:rsidR="007C1053" w:rsidRDefault="007C1053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5. Se verifica en la base de datos de </w:t>
            </w:r>
            <w:r w:rsidR="00D148F4">
              <w:rPr>
                <w:rFonts w:ascii="Arial" w:eastAsia="Times New Roman" w:hAnsi="Arial" w:cs="Arial"/>
                <w:color w:val="000000"/>
                <w:lang w:eastAsia="es-CR"/>
              </w:rPr>
              <w:t xml:space="preserve">la página de Recursos Humanos </w:t>
            </w:r>
            <w:hyperlink r:id="rId6" w:history="1">
              <w:r w:rsidR="00D148F4" w:rsidRPr="005640B0">
                <w:rPr>
                  <w:rStyle w:val="Hipervnculo"/>
                  <w:rFonts w:ascii="Arial" w:eastAsia="Times New Roman" w:hAnsi="Arial" w:cs="Arial"/>
                  <w:lang w:eastAsia="es-CR"/>
                </w:rPr>
                <w:t>https://rrhh.ccss.sa.cr/</w:t>
              </w:r>
            </w:hyperlink>
            <w:r w:rsidR="00D148F4">
              <w:rPr>
                <w:rFonts w:ascii="Arial" w:eastAsia="Times New Roman" w:hAnsi="Arial" w:cs="Arial"/>
                <w:color w:val="000000"/>
                <w:lang w:eastAsia="es-CR"/>
              </w:rPr>
              <w:t xml:space="preserve"> consulta/consulta de funcionarios, 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que no corresponda a un funcionario institucional?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AFDA" w14:textId="77777777" w:rsidR="007C1053" w:rsidRPr="00D20AED" w:rsidRDefault="007C1053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425E" w14:textId="77777777" w:rsidR="007C1053" w:rsidRPr="00D20AED" w:rsidRDefault="007C1053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056A" w14:textId="77777777" w:rsidR="007C1053" w:rsidRPr="00D20AED" w:rsidRDefault="007C1053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0D2A99" w:rsidRPr="00D20AED" w14:paraId="3304D599" w14:textId="77777777" w:rsidTr="00D1637C">
        <w:trPr>
          <w:trHeight w:val="70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2BB6" w14:textId="4B41C234" w:rsidR="000D2A99" w:rsidRDefault="007C1053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6.</w:t>
            </w:r>
            <w:r w:rsidR="000D2A99"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¿Adjunta las </w:t>
            </w:r>
            <w:r w:rsidR="000D2A99">
              <w:rPr>
                <w:rFonts w:ascii="Arial" w:eastAsia="Times New Roman" w:hAnsi="Arial" w:cs="Arial"/>
                <w:color w:val="000000"/>
                <w:lang w:eastAsia="es-CR"/>
              </w:rPr>
              <w:t xml:space="preserve">demás </w:t>
            </w:r>
            <w:r w:rsidR="000D2A99" w:rsidRPr="00D20AED">
              <w:rPr>
                <w:rFonts w:ascii="Arial" w:eastAsia="Times New Roman" w:hAnsi="Arial" w:cs="Arial"/>
                <w:color w:val="000000"/>
                <w:lang w:eastAsia="es-CR"/>
              </w:rPr>
              <w:t>declaraciones juradas, cuando así se requirió en el pliego de condiciones?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0B5BD" w14:textId="77777777" w:rsidR="000D2A99" w:rsidRPr="00D20AED" w:rsidRDefault="000D2A99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8FE94" w14:textId="77777777" w:rsidR="000D2A99" w:rsidRPr="00D20AED" w:rsidRDefault="000D2A99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7BB0" w14:textId="77777777" w:rsidR="000D2A99" w:rsidRPr="00D20AED" w:rsidRDefault="000D2A99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D20AED" w:rsidRPr="00D20AED" w14:paraId="0E6826E6" w14:textId="77777777" w:rsidTr="00D1637C">
        <w:trPr>
          <w:trHeight w:val="144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3347" w14:textId="746C7D2E" w:rsidR="00D20AED" w:rsidRPr="00D20AED" w:rsidRDefault="007C1053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7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     En Modalidad de ofertas en CONSORCIOS, verificar que se cuente con la firma de los representantes de las empresas, o bien según indique el acuerdo consorcial, el cual </w:t>
            </w:r>
            <w:r w:rsidR="00C01D37" w:rsidRPr="00D20AED">
              <w:rPr>
                <w:rFonts w:ascii="Arial" w:eastAsia="Times New Roman" w:hAnsi="Arial" w:cs="Arial"/>
                <w:color w:val="000000"/>
                <w:lang w:eastAsia="es-CR"/>
              </w:rPr>
              <w:t>también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debe presentarse.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0621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09EF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0FE1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55316CB0" w14:textId="77777777" w:rsidTr="00D1637C">
        <w:trPr>
          <w:trHeight w:val="11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F848" w14:textId="2796B454" w:rsidR="00D20AED" w:rsidRPr="00D20AED" w:rsidRDefault="007C1053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8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     En caso de presentar documentos adjuntos a la oferta, en los cuales se indica el precio, verificar si este coincide con el precio del formulario, así como su respectivo desglose.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BAE0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D93F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36BA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5C0B36A4" w14:textId="77777777" w:rsidTr="00D1637C">
        <w:trPr>
          <w:trHeight w:val="8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8416" w14:textId="451C111F" w:rsidR="00D20AED" w:rsidRPr="00D20AED" w:rsidRDefault="007C1053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Arial" w:hAnsi="Arial" w:cs="Arial"/>
                <w:color w:val="000000"/>
                <w:lang w:eastAsia="es-CR"/>
              </w:rPr>
              <w:t>9</w:t>
            </w:r>
            <w:r w:rsidR="00D20AED" w:rsidRPr="00D20AED">
              <w:rPr>
                <w:rFonts w:ascii="Arial" w:eastAsia="Arial" w:hAnsi="Arial" w:cs="Arial"/>
                <w:color w:val="000000"/>
                <w:lang w:eastAsia="es-CR"/>
              </w:rPr>
              <w:t xml:space="preserve">.    Se encuentra al día con la Seguridad Social, FODESAF, impuestos a la persona jurídica, según </w:t>
            </w:r>
            <w:proofErr w:type="gramStart"/>
            <w:r w:rsidR="00D20AED" w:rsidRPr="00D20AED">
              <w:rPr>
                <w:rFonts w:ascii="Arial" w:eastAsia="Arial" w:hAnsi="Arial" w:cs="Arial"/>
                <w:color w:val="000000"/>
                <w:lang w:eastAsia="es-CR"/>
              </w:rPr>
              <w:t>interface</w:t>
            </w:r>
            <w:proofErr w:type="gramEnd"/>
            <w:r w:rsidR="00D20AED" w:rsidRPr="00D20AED">
              <w:rPr>
                <w:rFonts w:ascii="Arial" w:eastAsia="Arial" w:hAnsi="Arial" w:cs="Arial"/>
                <w:color w:val="000000"/>
                <w:lang w:eastAsia="es-CR"/>
              </w:rPr>
              <w:t xml:space="preserve"> en SICOP.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2C44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F23D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D737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16278DA6" w14:textId="77777777" w:rsidTr="00D1637C">
        <w:trPr>
          <w:trHeight w:val="8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0D5E" w14:textId="790E4E48" w:rsidR="00D20AED" w:rsidRPr="00D20AED" w:rsidRDefault="007C1053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10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     El oferente se encuentre al día en su situación tributaria con el Ministerio de Hacienda, según el 18 bis del Código Tributario.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962E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440B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31F7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58633448" w14:textId="77777777" w:rsidTr="00D1637C">
        <w:trPr>
          <w:trHeight w:val="5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E6A2" w14:textId="463935DD" w:rsidR="00D20AED" w:rsidRPr="00D20AED" w:rsidRDefault="000D2A99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7C1053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>.       Verificación de Precio Ofertado sin impuestos.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99B6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B22F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9175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7FA17620" w14:textId="77777777" w:rsidTr="00D1637C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94E1" w14:textId="0B0927B7" w:rsidR="00D20AED" w:rsidRPr="00D20AED" w:rsidRDefault="000D2A99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Arial" w:hAnsi="Arial" w:cs="Arial"/>
                <w:color w:val="000000" w:themeColor="text1"/>
                <w:lang w:eastAsia="es-CR"/>
              </w:rPr>
              <w:lastRenderedPageBreak/>
              <w:t>1</w:t>
            </w:r>
            <w:r w:rsidR="007C1053">
              <w:rPr>
                <w:rFonts w:ascii="Arial" w:eastAsia="Arial" w:hAnsi="Arial" w:cs="Arial"/>
                <w:color w:val="000000" w:themeColor="text1"/>
                <w:lang w:eastAsia="es-CR"/>
              </w:rPr>
              <w:t>2</w:t>
            </w:r>
            <w:r w:rsidR="00D20AED" w:rsidRPr="00D20AED">
              <w:rPr>
                <w:rFonts w:ascii="Arial" w:eastAsia="Arial" w:hAnsi="Arial" w:cs="Arial"/>
                <w:color w:val="000000" w:themeColor="text1"/>
                <w:lang w:eastAsia="es-CR"/>
              </w:rPr>
              <w:t xml:space="preserve">. </w:t>
            </w:r>
            <w:r w:rsidR="00D1637C" w:rsidRPr="00D20AED">
              <w:rPr>
                <w:rFonts w:ascii="Arial" w:eastAsia="Arial" w:hAnsi="Arial" w:cs="Arial"/>
                <w:color w:val="000000" w:themeColor="text1"/>
                <w:lang w:eastAsia="es-CR"/>
              </w:rPr>
              <w:t>La vigencia de la oferta es la misma indicada en el pliego de condiciones</w:t>
            </w:r>
            <w:r w:rsidR="00D1637C">
              <w:rPr>
                <w:rFonts w:ascii="Arial" w:eastAsia="Arial" w:hAnsi="Arial" w:cs="Arial"/>
                <w:color w:val="000000" w:themeColor="text1"/>
                <w:lang w:eastAsia="es-CR"/>
              </w:rPr>
              <w:t xml:space="preserve">, así </w:t>
            </w:r>
            <w:r w:rsidR="00D20AED" w:rsidRPr="00D20AED">
              <w:rPr>
                <w:rFonts w:ascii="Arial" w:eastAsia="Arial" w:hAnsi="Arial" w:cs="Arial"/>
                <w:color w:val="000000" w:themeColor="text1"/>
                <w:lang w:eastAsia="es-CR"/>
              </w:rPr>
              <w:t>como el tiempo de entrega, se verifi</w:t>
            </w:r>
            <w:r w:rsidR="00D1637C">
              <w:rPr>
                <w:rFonts w:ascii="Arial" w:eastAsia="Arial" w:hAnsi="Arial" w:cs="Arial"/>
                <w:color w:val="000000" w:themeColor="text1"/>
                <w:lang w:eastAsia="es-CR"/>
              </w:rPr>
              <w:t>ca</w:t>
            </w:r>
            <w:r w:rsidR="00D20AED" w:rsidRPr="00D20AED">
              <w:rPr>
                <w:rFonts w:ascii="Arial" w:eastAsia="Arial" w:hAnsi="Arial" w:cs="Arial"/>
                <w:color w:val="000000" w:themeColor="text1"/>
                <w:lang w:eastAsia="es-CR"/>
              </w:rPr>
              <w:t xml:space="preserve"> en los documentos anexos (en caso de que existan) que no haya manifestaciones expresas contrarias.</w:t>
            </w:r>
            <w:r w:rsidR="00D1637C" w:rsidRPr="00D20AED">
              <w:rPr>
                <w:rFonts w:ascii="Arial" w:eastAsia="Arial" w:hAnsi="Arial" w:cs="Arial"/>
                <w:color w:val="000000" w:themeColor="text1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7D10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BC70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BE33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09EC4486" w14:textId="77777777" w:rsidTr="00D1637C">
        <w:trPr>
          <w:trHeight w:val="11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0ED2" w14:textId="41E2DBBC" w:rsidR="00E66AF0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D1637C">
              <w:rPr>
                <w:rFonts w:ascii="Arial" w:eastAsia="Times New Roman" w:hAnsi="Arial" w:cs="Arial"/>
                <w:color w:val="000000"/>
                <w:lang w:eastAsia="es-CR"/>
              </w:rPr>
              <w:t>3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¿Entregó la muestra cuando así se requirió en el pliego de condiciones? </w:t>
            </w:r>
          </w:p>
          <w:p w14:paraId="63E16DA8" w14:textId="77777777" w:rsidR="00E66AF0" w:rsidRDefault="00E66AF0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  <w:p w14:paraId="34E1085B" w14:textId="37297A03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Si la presenta como subsanación lo hace en el plazo establecido</w:t>
            </w:r>
            <w:r w:rsidR="00D1637C">
              <w:rPr>
                <w:rFonts w:ascii="Arial" w:eastAsia="Times New Roman" w:hAnsi="Arial" w:cs="Arial"/>
                <w:color w:val="000000"/>
                <w:lang w:eastAsia="es-CR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6AF8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72C1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149B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07F344FB" w14:textId="77777777" w:rsidTr="00D1637C">
        <w:trPr>
          <w:trHeight w:val="8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745D" w14:textId="2C50E9E3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D1637C">
              <w:rPr>
                <w:rFonts w:ascii="Arial" w:eastAsia="Times New Roman" w:hAnsi="Arial" w:cs="Arial"/>
                <w:color w:val="000000"/>
                <w:lang w:eastAsia="es-CR"/>
              </w:rPr>
              <w:t>4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.       Cumple con los Registros de Operación del Local, ante el Ministerio de Salud o ente competente. (En cuyos casos se amerite).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E9A7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8BA6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534C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28D8A2C4" w14:textId="77777777" w:rsidTr="00D1637C">
        <w:trPr>
          <w:trHeight w:val="8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17C5" w14:textId="12A8BA44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0934BB">
              <w:rPr>
                <w:rFonts w:ascii="Arial" w:eastAsia="Times New Roman" w:hAnsi="Arial" w:cs="Arial"/>
                <w:color w:val="000000"/>
                <w:lang w:eastAsia="es-CR"/>
              </w:rPr>
              <w:t>5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 Se verifica la presentación </w:t>
            </w:r>
            <w:r w:rsidR="000934BB">
              <w:rPr>
                <w:rFonts w:ascii="Arial" w:eastAsia="Times New Roman" w:hAnsi="Arial" w:cs="Arial"/>
                <w:color w:val="000000"/>
                <w:lang w:eastAsia="es-CR"/>
              </w:rPr>
              <w:t xml:space="preserve">y vigencia 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del registro de</w:t>
            </w:r>
            <w:r w:rsidR="000934BB">
              <w:rPr>
                <w:rFonts w:ascii="Arial" w:eastAsia="Times New Roman" w:hAnsi="Arial" w:cs="Arial"/>
                <w:color w:val="000000"/>
                <w:lang w:eastAsia="es-CR"/>
              </w:rPr>
              <w:t>l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producto, emitido por el Ministerio de Salud o ente competente.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9818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74AF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3E9B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30DAA06D" w14:textId="77777777" w:rsidTr="00D1637C">
        <w:trPr>
          <w:trHeight w:val="11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069B" w14:textId="5508BFE4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0934BB">
              <w:rPr>
                <w:rFonts w:ascii="Arial" w:eastAsia="Times New Roman" w:hAnsi="Arial" w:cs="Arial"/>
                <w:color w:val="000000"/>
                <w:lang w:eastAsia="es-CR"/>
              </w:rPr>
              <w:t>6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  El oferente describe el bien ofertado (características, fabricante, marca y país de origen del producto, literatura y/o catálogo) o servicio ofertado.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3423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F5A9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3129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75D89DF0" w14:textId="77777777" w:rsidTr="00D1637C">
        <w:trPr>
          <w:trHeight w:val="58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47B8" w14:textId="32DE7853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0934BB">
              <w:rPr>
                <w:rFonts w:ascii="Arial" w:eastAsia="Times New Roman" w:hAnsi="Arial" w:cs="Arial"/>
                <w:color w:val="000000"/>
                <w:lang w:eastAsia="es-CR"/>
              </w:rPr>
              <w:t>7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.   Se presenta mecanismo de reajuste de precios?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462E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3D43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F235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2128BA" w:rsidRPr="00D20AED" w14:paraId="3F3F34B8" w14:textId="77777777" w:rsidTr="00D1637C">
        <w:trPr>
          <w:trHeight w:val="11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E19C" w14:textId="02F9CF15" w:rsidR="002128BA" w:rsidRPr="00D20AED" w:rsidRDefault="002128BA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0934BB">
              <w:rPr>
                <w:rFonts w:ascii="Arial" w:eastAsia="Times New Roman" w:hAnsi="Arial" w:cs="Arial"/>
                <w:color w:val="000000"/>
                <w:lang w:eastAsia="es-CR"/>
              </w:rPr>
              <w:t>8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.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Se verifica </w:t>
            </w:r>
            <w:r w:rsidRPr="00FC76EF">
              <w:rPr>
                <w:rFonts w:ascii="Arial" w:eastAsia="Arial" w:hAnsi="Arial" w:cs="Arial"/>
                <w:color w:val="000000" w:themeColor="text1"/>
              </w:rPr>
              <w:t>la participación única</w:t>
            </w:r>
            <w:r w:rsidR="000934BB">
              <w:rPr>
                <w:rFonts w:ascii="Arial" w:eastAsia="Arial" w:hAnsi="Arial" w:cs="Arial"/>
                <w:color w:val="000000" w:themeColor="text1"/>
              </w:rPr>
              <w:t xml:space="preserve"> según el art. 126 RLGCP</w:t>
            </w:r>
            <w:r w:rsidRPr="00FC76EF">
              <w:rPr>
                <w:rFonts w:ascii="Arial" w:eastAsia="Arial" w:hAnsi="Arial" w:cs="Arial"/>
                <w:color w:val="000000" w:themeColor="text1"/>
              </w:rPr>
              <w:t xml:space="preserve"> en cada procedimiento de contratación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</w:rPr>
              <w:t xml:space="preserve">(verificar coincidencias en representantes, autorizados, correos, teléfonos, accionistas, beneficiario final, </w:t>
            </w:r>
            <w:r w:rsidR="000934BB">
              <w:rPr>
                <w:rFonts w:ascii="Arial" w:eastAsia="Arial" w:hAnsi="Arial" w:cs="Arial"/>
                <w:color w:val="000000" w:themeColor="text1"/>
              </w:rPr>
              <w:t>etc.</w:t>
            </w:r>
            <w:r>
              <w:rPr>
                <w:rFonts w:ascii="Arial" w:eastAsia="Arial" w:hAnsi="Arial" w:cs="Arial"/>
                <w:color w:val="000000" w:themeColor="text1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0D77" w14:textId="77777777" w:rsidR="002128BA" w:rsidRPr="00D20AED" w:rsidRDefault="002128BA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C685E" w14:textId="77777777" w:rsidR="002128BA" w:rsidRPr="00D20AED" w:rsidRDefault="002128BA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CBB1" w14:textId="77777777" w:rsidR="002128BA" w:rsidRPr="00D20AED" w:rsidRDefault="002128BA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D20AED" w:rsidRPr="00D20AED" w14:paraId="5C10B073" w14:textId="77777777" w:rsidTr="00D1637C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1F3B" w14:textId="378A777D" w:rsidR="00D20AED" w:rsidRPr="00D20AED" w:rsidRDefault="000934BB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19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>.   Cotiza el 100% de la partida?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FA0A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4924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DF7D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5D0E5309" w14:textId="77777777" w:rsidTr="00D1637C">
        <w:trPr>
          <w:trHeight w:val="8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1727" w14:textId="03D3335D" w:rsidR="00D20AED" w:rsidRPr="00D20AED" w:rsidRDefault="000D2A99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2</w:t>
            </w:r>
            <w:r w:rsidR="007C1053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>.   Verifica la indicación respecto a la garantía de funcionamiento y/o vencimiento del producto solicitado?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F1CF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6658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1721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5030E3" w:rsidRPr="00D20AED" w14:paraId="07C9DB1D" w14:textId="77777777" w:rsidTr="00D1637C">
        <w:trPr>
          <w:trHeight w:val="8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8F3D" w14:textId="1A3E662C" w:rsidR="005030E3" w:rsidRDefault="005030E3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22. De tratarse de una oferta en consorcio, existe el respecto acuerdo consorcial dentro del expediente digital.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0FAD0" w14:textId="77777777" w:rsidR="005030E3" w:rsidRPr="00D20AED" w:rsidRDefault="005030E3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2EDBA" w14:textId="77777777" w:rsidR="005030E3" w:rsidRPr="00D20AED" w:rsidRDefault="005030E3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F5A0" w14:textId="77777777" w:rsidR="005030E3" w:rsidRPr="00D20AED" w:rsidRDefault="005030E3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310C5B" w:rsidRPr="00D20AED" w14:paraId="1759C604" w14:textId="77777777" w:rsidTr="00D1637C">
        <w:trPr>
          <w:trHeight w:val="8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58B68" w14:textId="7FBDEEDD" w:rsidR="00310C5B" w:rsidRDefault="00310C5B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23. 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Cumplimiento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, vigencia 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de las póliza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s, </w:t>
            </w:r>
            <w:r w:rsidRPr="00414F8F">
              <w:rPr>
                <w:rFonts w:ascii="Arial" w:eastAsia="Times New Roman" w:hAnsi="Arial" w:cs="Arial"/>
                <w:color w:val="000000"/>
                <w:lang w:eastAsia="es-CR"/>
              </w:rPr>
              <w:t>en caso de ser requeridas en el pliego de condiciones.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EC25" w14:textId="77777777" w:rsidR="00310C5B" w:rsidRPr="00D20AED" w:rsidRDefault="00310C5B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3FB3" w14:textId="77777777" w:rsidR="00310C5B" w:rsidRPr="00D20AED" w:rsidRDefault="00310C5B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A452" w14:textId="77777777" w:rsidR="00310C5B" w:rsidRPr="00D20AED" w:rsidRDefault="00310C5B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</w:tr>
      <w:tr w:rsidR="00D20AED" w:rsidRPr="00D20AED" w14:paraId="2EACDF44" w14:textId="77777777" w:rsidTr="00D1637C">
        <w:trPr>
          <w:trHeight w:val="70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5877" w14:textId="39E59109" w:rsidR="00D20AED" w:rsidRPr="00D20AED" w:rsidRDefault="000D2A99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2</w:t>
            </w:r>
            <w:r w:rsidR="00310C5B">
              <w:rPr>
                <w:rFonts w:ascii="Arial" w:eastAsia="Times New Roman" w:hAnsi="Arial" w:cs="Arial"/>
                <w:color w:val="000000"/>
                <w:lang w:eastAsia="es-CR"/>
              </w:rPr>
              <w:t>4</w:t>
            </w:r>
            <w:r w:rsidR="00D20AED"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 Otros aspectos Administrativos </w:t>
            </w:r>
          </w:p>
        </w:tc>
        <w:tc>
          <w:tcPr>
            <w:tcW w:w="3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278B1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0AED" w:rsidRPr="00D20AED" w14:paraId="0260A172" w14:textId="77777777" w:rsidTr="00D20AED">
        <w:trPr>
          <w:trHeight w:val="3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8FDF9B0" w14:textId="77777777" w:rsidR="00D20AED" w:rsidRPr="00D20AED" w:rsidRDefault="00D20AED" w:rsidP="00D2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lastRenderedPageBreak/>
              <w:t>OBSERVACIONES</w:t>
            </w:r>
          </w:p>
        </w:tc>
      </w:tr>
      <w:tr w:rsidR="00D20AED" w:rsidRPr="00D20AED" w14:paraId="314A1196" w14:textId="77777777" w:rsidTr="00D20AED">
        <w:trPr>
          <w:trHeight w:val="1808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35B75879" w14:textId="77777777" w:rsid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t>Esta plantilla deberá adjuntarse al expediente en la solicitud de información correspondiente a la aprobación del análisis administrativo, firmada digitalmente por el funcionario analista.</w:t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br/>
            </w: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br/>
              <w:t>Obligatoriamente debe existir en el expediente durante la aprobación por parte del superior, la misma plantilla firmada por ambos funcionarios.</w:t>
            </w:r>
          </w:p>
          <w:p w14:paraId="501E30FC" w14:textId="36646CA2" w:rsidR="00D20AED" w:rsidRPr="00D20AED" w:rsidRDefault="00D20AED" w:rsidP="00D20A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color w:val="000000"/>
                <w:lang w:eastAsia="es-CR"/>
              </w:rPr>
              <w:br/>
              <w:t xml:space="preserve">Se deberá adjuntar la Declaratoria de Ausencia de Conflicto de </w:t>
            </w:r>
            <w:r w:rsidR="000934BB" w:rsidRPr="00D20AED">
              <w:rPr>
                <w:rFonts w:ascii="Arial" w:eastAsia="Times New Roman" w:hAnsi="Arial" w:cs="Arial"/>
                <w:color w:val="000000"/>
                <w:lang w:eastAsia="es-CR"/>
              </w:rPr>
              <w:t>Intereses</w:t>
            </w:r>
            <w:r w:rsidR="000934BB">
              <w:rPr>
                <w:rFonts w:ascii="Arial" w:eastAsia="Times New Roman" w:hAnsi="Arial" w:cs="Arial"/>
                <w:color w:val="000000"/>
                <w:lang w:eastAsia="es-CR"/>
              </w:rPr>
              <w:t>, una única vez por el funcionario.</w:t>
            </w:r>
          </w:p>
        </w:tc>
      </w:tr>
      <w:tr w:rsidR="00D20AED" w:rsidRPr="00D20AED" w14:paraId="4391C8C7" w14:textId="77777777" w:rsidTr="00D20AED">
        <w:trPr>
          <w:trHeight w:val="193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441F" w14:textId="2A00C940" w:rsidR="00A11503" w:rsidRDefault="00A11503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Nombre del funcionario analista:</w:t>
            </w:r>
          </w:p>
          <w:p w14:paraId="4B0918A9" w14:textId="01A86FB4" w:rsidR="00A11503" w:rsidRDefault="00A11503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Firma digital</w:t>
            </w:r>
          </w:p>
          <w:p w14:paraId="492E74F3" w14:textId="77777777" w:rsidR="00A11503" w:rsidRDefault="00A11503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</w:p>
          <w:p w14:paraId="1C3FB523" w14:textId="77777777" w:rsidR="00A11503" w:rsidRDefault="00A11503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</w:p>
          <w:p w14:paraId="01917067" w14:textId="35D1FFA4" w:rsidR="00D20AED" w:rsidRPr="00D20AED" w:rsidRDefault="00D20AED" w:rsidP="00D20A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D20A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 xml:space="preserve">Nombre del funcionario superior que avalo dicho análisis: </w:t>
            </w:r>
            <w:r w:rsidRPr="00D20A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br/>
              <w:t>Firma digital:</w:t>
            </w:r>
          </w:p>
        </w:tc>
      </w:tr>
    </w:tbl>
    <w:p w14:paraId="4E8C2D4D" w14:textId="77777777" w:rsidR="00383768" w:rsidRPr="00D20AED" w:rsidRDefault="00383768" w:rsidP="00B40E90"/>
    <w:sectPr w:rsidR="00383768" w:rsidRPr="00D20AED" w:rsidSect="000C37FF">
      <w:headerReference w:type="default" r:id="rId7"/>
      <w:footerReference w:type="default" r:id="rId8"/>
      <w:pgSz w:w="12240" w:h="15840"/>
      <w:pgMar w:top="1276" w:right="1701" w:bottom="851" w:left="1701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50503" w14:textId="77777777" w:rsidR="000C37FF" w:rsidRDefault="000C37FF" w:rsidP="00F1522E">
      <w:pPr>
        <w:spacing w:after="0" w:line="240" w:lineRule="auto"/>
      </w:pPr>
      <w:r>
        <w:separator/>
      </w:r>
    </w:p>
  </w:endnote>
  <w:endnote w:type="continuationSeparator" w:id="0">
    <w:p w14:paraId="50CC30BA" w14:textId="77777777" w:rsidR="000C37FF" w:rsidRDefault="000C37FF" w:rsidP="00F1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38685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933930" w14:textId="0F8C2991" w:rsidR="00F1522E" w:rsidRDefault="00F1522E" w:rsidP="00F1522E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F667D" w14:textId="77777777" w:rsidR="000C37FF" w:rsidRDefault="000C37FF" w:rsidP="00F1522E">
      <w:pPr>
        <w:spacing w:after="0" w:line="240" w:lineRule="auto"/>
      </w:pPr>
      <w:r>
        <w:separator/>
      </w:r>
    </w:p>
  </w:footnote>
  <w:footnote w:type="continuationSeparator" w:id="0">
    <w:p w14:paraId="72FA25AA" w14:textId="77777777" w:rsidR="000C37FF" w:rsidRDefault="000C37FF" w:rsidP="00F1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1469" w14:textId="1CE36BC1" w:rsidR="00F1522E" w:rsidRDefault="00F1522E" w:rsidP="00F1522E">
    <w:pPr>
      <w:spacing w:after="0" w:line="240" w:lineRule="auto"/>
      <w:jc w:val="center"/>
      <w:rPr>
        <w:rFonts w:ascii="Arial Narrow" w:hAnsi="Arial Narrow"/>
        <w:b/>
        <w:sz w:val="16"/>
        <w:szCs w:val="16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D05478" wp14:editId="10A12038">
          <wp:simplePos x="0" y="0"/>
          <wp:positionH relativeFrom="margin">
            <wp:posOffset>1311733</wp:posOffset>
          </wp:positionH>
          <wp:positionV relativeFrom="paragraph">
            <wp:posOffset>-140970</wp:posOffset>
          </wp:positionV>
          <wp:extent cx="497205" cy="497205"/>
          <wp:effectExtent l="0" t="0" r="0" b="0"/>
          <wp:wrapNone/>
          <wp:docPr id="11" name="Imagen 11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Form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/>
        <w:sz w:val="16"/>
        <w:szCs w:val="16"/>
        <w:lang w:eastAsia="ja-JP"/>
      </w:rPr>
      <w:t>CAJA COSTARRICENSE DE SEGURO SOCIAL</w:t>
    </w:r>
  </w:p>
  <w:p w14:paraId="431D3FBC" w14:textId="371788AF" w:rsidR="00F1522E" w:rsidRDefault="00F1522E" w:rsidP="00F1522E">
    <w:pPr>
      <w:pStyle w:val="Encabezado"/>
      <w:jc w:val="center"/>
    </w:pPr>
    <w:r>
      <w:rPr>
        <w:rFonts w:ascii="Arial Narrow" w:hAnsi="Arial Narrow"/>
        <w:b/>
        <w:sz w:val="16"/>
        <w:szCs w:val="16"/>
        <w:lang w:eastAsia="ja-JP"/>
      </w:rPr>
      <w:t>GERENCIA DE LOGÍSTICA</w:t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2E"/>
    <w:rsid w:val="0000783D"/>
    <w:rsid w:val="000934BB"/>
    <w:rsid w:val="000A0B4F"/>
    <w:rsid w:val="000C37FF"/>
    <w:rsid w:val="000D2A99"/>
    <w:rsid w:val="002128BA"/>
    <w:rsid w:val="00267C36"/>
    <w:rsid w:val="00290F7D"/>
    <w:rsid w:val="002E7581"/>
    <w:rsid w:val="00310C5B"/>
    <w:rsid w:val="00383768"/>
    <w:rsid w:val="003A104C"/>
    <w:rsid w:val="004645B1"/>
    <w:rsid w:val="005030E3"/>
    <w:rsid w:val="005E310B"/>
    <w:rsid w:val="006A21C9"/>
    <w:rsid w:val="00723C84"/>
    <w:rsid w:val="007C1053"/>
    <w:rsid w:val="00871793"/>
    <w:rsid w:val="00945844"/>
    <w:rsid w:val="00A11503"/>
    <w:rsid w:val="00AE489F"/>
    <w:rsid w:val="00AF238C"/>
    <w:rsid w:val="00AF34D5"/>
    <w:rsid w:val="00B40E90"/>
    <w:rsid w:val="00C01D37"/>
    <w:rsid w:val="00CA69D2"/>
    <w:rsid w:val="00CC6F59"/>
    <w:rsid w:val="00D148F4"/>
    <w:rsid w:val="00D1637C"/>
    <w:rsid w:val="00D20AED"/>
    <w:rsid w:val="00D20B4B"/>
    <w:rsid w:val="00E66AF0"/>
    <w:rsid w:val="00E73975"/>
    <w:rsid w:val="00EF5A95"/>
    <w:rsid w:val="00F1522E"/>
    <w:rsid w:val="00F369DE"/>
    <w:rsid w:val="00F4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DF3E9E1"/>
  <w15:chartTrackingRefBased/>
  <w15:docId w15:val="{E2787278-86CB-4E23-9903-CA8D739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522E"/>
  </w:style>
  <w:style w:type="paragraph" w:styleId="Piedepgina">
    <w:name w:val="footer"/>
    <w:basedOn w:val="Normal"/>
    <w:link w:val="Piedepgina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522E"/>
  </w:style>
  <w:style w:type="character" w:styleId="Refdecomentario">
    <w:name w:val="annotation reference"/>
    <w:basedOn w:val="Fuentedeprrafopredeter"/>
    <w:uiPriority w:val="99"/>
    <w:semiHidden/>
    <w:unhideWhenUsed/>
    <w:rsid w:val="00D20B4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20B4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20B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0B4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20B4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D148F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14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rhh.ccss.sa.c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608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Cortés Espinoza</dc:creator>
  <cp:keywords/>
  <dc:description/>
  <cp:lastModifiedBy>Daniela Gonzalez Sanchez</cp:lastModifiedBy>
  <cp:revision>8</cp:revision>
  <dcterms:created xsi:type="dcterms:W3CDTF">2024-02-19T20:24:00Z</dcterms:created>
  <dcterms:modified xsi:type="dcterms:W3CDTF">2024-03-18T17:55:00Z</dcterms:modified>
</cp:coreProperties>
</file>